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2" w:rsidRDefault="00244DD9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2020年国家科技进步奖</w:t>
      </w:r>
      <w:r w:rsidR="00E5301A">
        <w:rPr>
          <w:rFonts w:ascii="黑体" w:eastAsia="黑体" w:hAnsi="黑体" w:cs="黑体" w:hint="eastAsia"/>
          <w:sz w:val="28"/>
          <w:szCs w:val="36"/>
        </w:rPr>
        <w:t>提名</w:t>
      </w:r>
      <w:r>
        <w:rPr>
          <w:rFonts w:ascii="黑体" w:eastAsia="黑体" w:hAnsi="黑体" w:cs="黑体" w:hint="eastAsia"/>
          <w:sz w:val="28"/>
          <w:szCs w:val="36"/>
        </w:rPr>
        <w:t>项目公示材料</w:t>
      </w:r>
    </w:p>
    <w:p w:rsidR="006B7E92" w:rsidRDefault="00244DD9">
      <w:pPr>
        <w:numPr>
          <w:ilvl w:val="0"/>
          <w:numId w:val="1"/>
        </w:numPr>
        <w:spacing w:line="400" w:lineRule="exact"/>
        <w:rPr>
          <w:b/>
          <w:bCs/>
        </w:rPr>
      </w:pPr>
      <w:r>
        <w:rPr>
          <w:rFonts w:hint="eastAsia"/>
          <w:b/>
          <w:bCs/>
        </w:rPr>
        <w:t>项目名称：近视防治关键技术的建立及转化应用</w:t>
      </w:r>
    </w:p>
    <w:p w:rsidR="006B7E92" w:rsidRDefault="00244DD9">
      <w:pPr>
        <w:numPr>
          <w:ilvl w:val="0"/>
          <w:numId w:val="1"/>
        </w:numPr>
        <w:spacing w:line="400" w:lineRule="exact"/>
        <w:rPr>
          <w:b/>
          <w:bCs/>
        </w:rPr>
      </w:pPr>
      <w:r>
        <w:rPr>
          <w:rFonts w:hint="eastAsia"/>
          <w:b/>
          <w:bCs/>
        </w:rPr>
        <w:t>提名单位：中华医学会</w:t>
      </w:r>
    </w:p>
    <w:p w:rsidR="009E3396" w:rsidRDefault="009E3396">
      <w:pPr>
        <w:numPr>
          <w:ilvl w:val="0"/>
          <w:numId w:val="1"/>
        </w:numPr>
        <w:spacing w:line="400" w:lineRule="exact"/>
        <w:rPr>
          <w:b/>
          <w:bCs/>
        </w:rPr>
      </w:pPr>
      <w:r>
        <w:rPr>
          <w:rFonts w:hint="eastAsia"/>
          <w:b/>
          <w:bCs/>
        </w:rPr>
        <w:t>提名等级</w:t>
      </w:r>
      <w:r w:rsidRPr="009E3396">
        <w:rPr>
          <w:rFonts w:hint="eastAsia"/>
          <w:b/>
          <w:bCs/>
        </w:rPr>
        <w:t>：国家科学技术进步奖二等奖</w:t>
      </w:r>
    </w:p>
    <w:p w:rsidR="006B7E92" w:rsidRDefault="009E3396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四</w:t>
      </w:r>
      <w:r w:rsidR="00244DD9">
        <w:rPr>
          <w:rFonts w:hint="eastAsia"/>
          <w:b/>
          <w:bCs/>
        </w:rPr>
        <w:t>、主要知识产权和标准规范等目录</w:t>
      </w:r>
    </w:p>
    <w:tbl>
      <w:tblPr>
        <w:tblW w:w="10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930"/>
        <w:gridCol w:w="809"/>
        <w:gridCol w:w="758"/>
        <w:gridCol w:w="1038"/>
        <w:gridCol w:w="1427"/>
        <w:gridCol w:w="1069"/>
        <w:gridCol w:w="1183"/>
        <w:gridCol w:w="1045"/>
      </w:tblGrid>
      <w:tr w:rsidR="006B7E92">
        <w:trPr>
          <w:trHeight w:val="3114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知识产权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（标准）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知识产权（标准）具体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国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家</w:t>
            </w:r>
          </w:p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地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区）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证书编号（标准批准发布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部门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权利人（标准起草单位）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6B7E92">
        <w:trPr>
          <w:trHeight w:val="3567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发明专利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Method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of Inhibiting Myopia and Application of an </w:t>
            </w:r>
            <w:proofErr w:type="spellStart"/>
            <w:r>
              <w:rPr>
                <w:szCs w:val="21"/>
              </w:rPr>
              <w:t>Adenylyl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Cyclase</w:t>
            </w:r>
            <w:proofErr w:type="spellEnd"/>
            <w:r>
              <w:rPr>
                <w:szCs w:val="21"/>
              </w:rPr>
              <w:t xml:space="preserve"> inhibitor as a drug for inhibiting myopia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美国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US9084791B2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2015.07.21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US9084791B2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温州医科大学眼视光研究院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周翔天，瞿佳，陶奕瑾，潘妙珍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</w:t>
            </w:r>
          </w:p>
        </w:tc>
      </w:tr>
      <w:tr w:rsidR="006B7E92">
        <w:trPr>
          <w:trHeight w:val="2522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w:t>发明专利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High Precision Rigid Gas-Permeable Contact Lens Edge Curve Polishing Lathe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w:t>美国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US9434042B2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2016.09.06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US9434042B2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温州医科大学</w:t>
            </w:r>
            <w:r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/>
                <w:sz w:val="21"/>
                <w:szCs w:val="21"/>
              </w:rPr>
              <w:t>温州欣视界科技有限公司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proofErr w:type="gramStart"/>
            <w:r>
              <w:rPr>
                <w:rFonts w:hint="eastAsia"/>
                <w:szCs w:val="21"/>
              </w:rPr>
              <w:t>浩</w:t>
            </w:r>
            <w:proofErr w:type="gramEnd"/>
            <w:r>
              <w:rPr>
                <w:rFonts w:hint="eastAsia"/>
                <w:szCs w:val="21"/>
              </w:rPr>
              <w:t>，姜珺，</w:t>
            </w:r>
            <w:proofErr w:type="spellStart"/>
            <w:r>
              <w:rPr>
                <w:rFonts w:hint="eastAsia"/>
                <w:szCs w:val="21"/>
              </w:rPr>
              <w:t>Doke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Atsuhiro</w:t>
            </w:r>
            <w:proofErr w:type="spellEnd"/>
            <w:r>
              <w:rPr>
                <w:rFonts w:hint="eastAsia"/>
                <w:szCs w:val="21"/>
              </w:rPr>
              <w:t>，石赢，蔡昌如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</w:t>
            </w:r>
          </w:p>
        </w:tc>
      </w:tr>
      <w:tr w:rsidR="006B7E92">
        <w:trPr>
          <w:trHeight w:val="2435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w:t>发明专利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一种改善光斑形状自动调节光斑大小的光路系统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color w:val="0D0D0D"/>
                <w:sz w:val="21"/>
                <w:szCs w:val="21"/>
              </w:rPr>
            </w:pPr>
            <w:r>
              <w:rPr>
                <w:rFonts w:ascii="Times New Roman" w:hint="eastAsia"/>
                <w:color w:val="0D0D0D"/>
                <w:sz w:val="21"/>
                <w:szCs w:val="21"/>
              </w:rPr>
              <w:t>中国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ZL201310645276.0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2016.06.01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</w:t>
            </w:r>
            <w:r>
              <w:rPr>
                <w:szCs w:val="21"/>
              </w:rPr>
              <w:t>0576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浙江温医雷赛医用激光科技有限公司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proofErr w:type="gramStart"/>
            <w:r>
              <w:rPr>
                <w:rFonts w:hint="eastAsia"/>
                <w:szCs w:val="21"/>
              </w:rPr>
              <w:t>浩</w:t>
            </w:r>
            <w:proofErr w:type="gramEnd"/>
            <w:r>
              <w:rPr>
                <w:rFonts w:hint="eastAsia"/>
                <w:szCs w:val="21"/>
              </w:rPr>
              <w:t>，刘党会，李红波，陈昆仑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</w:t>
            </w:r>
          </w:p>
        </w:tc>
      </w:tr>
      <w:tr w:rsidR="006B7E92">
        <w:trPr>
          <w:trHeight w:val="2788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color w:val="0D0D0D"/>
                <w:szCs w:val="21"/>
              </w:rPr>
              <w:lastRenderedPageBreak/>
              <w:t>发明专利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一种用于加工自由曲面隐形眼镜片的装置及其控制方法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中国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ZL201310062506.0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2015.10.28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1826085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温州医学院眼视光研究院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proofErr w:type="gramStart"/>
            <w:r>
              <w:rPr>
                <w:rFonts w:hint="eastAsia"/>
                <w:szCs w:val="21"/>
              </w:rPr>
              <w:t>浩</w:t>
            </w:r>
            <w:proofErr w:type="gramEnd"/>
            <w:r>
              <w:rPr>
                <w:rFonts w:hint="eastAsia"/>
                <w:szCs w:val="21"/>
              </w:rPr>
              <w:t>，瞿佳，刘红兵，王勤美，厉以宇，李金明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</w:t>
            </w:r>
          </w:p>
        </w:tc>
      </w:tr>
      <w:tr w:rsidR="006B7E92">
        <w:trPr>
          <w:trHeight w:val="1459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color w:val="0D0D0D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D0D0D"/>
                <w:szCs w:val="21"/>
              </w:rPr>
              <w:t>发明专利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jc w:val="center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一种多巴胺D2受体的部分激动剂在制备抑制近视药物上的应用及其使用方法</w:t>
            </w:r>
          </w:p>
        </w:tc>
        <w:tc>
          <w:tcPr>
            <w:tcW w:w="809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color w:val="0D0D0D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D0D0D"/>
                <w:szCs w:val="21"/>
              </w:rPr>
              <w:t>中国</w:t>
            </w:r>
          </w:p>
        </w:tc>
        <w:tc>
          <w:tcPr>
            <w:tcW w:w="758" w:type="dxa"/>
            <w:vAlign w:val="center"/>
          </w:tcPr>
          <w:p w:rsidR="006B7E92" w:rsidRDefault="00244DD9">
            <w:pPr>
              <w:jc w:val="center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ZL201510763649.3</w:t>
            </w:r>
          </w:p>
        </w:tc>
        <w:tc>
          <w:tcPr>
            <w:tcW w:w="1038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2018年</w:t>
            </w:r>
          </w:p>
          <w:p w:rsidR="006B7E92" w:rsidRDefault="00244DD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07月24日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3008881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周翔天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;瞿佳;黄芙蓉;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万芬</w:t>
            </w:r>
            <w:proofErr w:type="gramEnd"/>
          </w:p>
        </w:tc>
        <w:tc>
          <w:tcPr>
            <w:tcW w:w="1045" w:type="dxa"/>
            <w:vAlign w:val="center"/>
          </w:tcPr>
          <w:p w:rsidR="006B7E92" w:rsidRDefault="00244DD9">
            <w:pPr>
              <w:spacing w:line="40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有效</w:t>
            </w:r>
          </w:p>
        </w:tc>
      </w:tr>
      <w:tr w:rsidR="006B7E92">
        <w:trPr>
          <w:trHeight w:val="1459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论文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切实做好儿童青少年近视眼防控工作</w:t>
            </w:r>
          </w:p>
        </w:tc>
        <w:tc>
          <w:tcPr>
            <w:tcW w:w="809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2019.02.11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中华眼科杂志</w:t>
            </w:r>
            <w:r>
              <w:rPr>
                <w:rFonts w:ascii="Times New Roman" w:hint="eastAsia"/>
                <w:sz w:val="21"/>
                <w:szCs w:val="21"/>
              </w:rPr>
              <w:t>. 2019,55(2) :81-85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瞿佳，吕帆，徐良德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其他有效知识产权</w:t>
            </w:r>
          </w:p>
        </w:tc>
      </w:tr>
      <w:tr w:rsidR="006B7E92">
        <w:trPr>
          <w:trHeight w:val="7133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Scleral</w:t>
            </w:r>
            <w:proofErr w:type="spellEnd"/>
            <w:r>
              <w:rPr>
                <w:szCs w:val="21"/>
              </w:rPr>
              <w:t xml:space="preserve"> hypoxia is a target for myopia control</w:t>
            </w:r>
          </w:p>
        </w:tc>
        <w:tc>
          <w:tcPr>
            <w:tcW w:w="809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2018.07.24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Proceedings of the National Academy of Sciences of the United States of America. 2018, 115(30):E7091-E7100.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吴昊，陈伟，赵斐，周清怡，</w:t>
            </w:r>
            <w:proofErr w:type="spellStart"/>
            <w:r>
              <w:rPr>
                <w:szCs w:val="21"/>
              </w:rPr>
              <w:t>Reinach</w:t>
            </w:r>
            <w:proofErr w:type="spellEnd"/>
            <w:r>
              <w:rPr>
                <w:szCs w:val="21"/>
              </w:rPr>
              <w:t xml:space="preserve"> Peter S</w:t>
            </w:r>
            <w:r>
              <w:rPr>
                <w:rFonts w:hint="eastAsia"/>
                <w:szCs w:val="21"/>
              </w:rPr>
              <w:t>ol</w:t>
            </w:r>
            <w:r>
              <w:rPr>
                <w:rFonts w:hint="eastAsia"/>
                <w:szCs w:val="21"/>
              </w:rPr>
              <w:t>，邓莉莉，马利，罗书萌，</w:t>
            </w:r>
            <w:proofErr w:type="spellStart"/>
            <w:r>
              <w:t>Srinivasalu</w:t>
            </w:r>
            <w:proofErr w:type="spellEnd"/>
            <w:r>
              <w:t xml:space="preserve"> </w:t>
            </w:r>
            <w:proofErr w:type="spellStart"/>
            <w:r>
              <w:t>Nethrajeith</w:t>
            </w:r>
            <w:proofErr w:type="spellEnd"/>
            <w:r>
              <w:rPr>
                <w:rFonts w:hint="eastAsia"/>
                <w:szCs w:val="21"/>
              </w:rPr>
              <w:t>，潘妙珍，周仲楼，张森，曾长青，瞿佳，</w:t>
            </w:r>
            <w:proofErr w:type="gramStart"/>
            <w:r>
              <w:rPr>
                <w:rFonts w:hint="eastAsia"/>
                <w:szCs w:val="21"/>
              </w:rPr>
              <w:t>周翔天</w:t>
            </w:r>
            <w:proofErr w:type="gramEnd"/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其他有效知识产权</w:t>
            </w:r>
          </w:p>
        </w:tc>
      </w:tr>
      <w:tr w:rsidR="006B7E92">
        <w:trPr>
          <w:trHeight w:val="3572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lastRenderedPageBreak/>
              <w:t>论文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Rapid Integration of Tactile and Visual Information by a Newly Sighted Child</w:t>
            </w:r>
          </w:p>
        </w:tc>
        <w:tc>
          <w:tcPr>
            <w:tcW w:w="809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2016.04.25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Current Biology. 2016, 26(8):1069-1074.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陈洁，吴恩德，陈心，朱绿荷，李小曼，</w:t>
            </w:r>
            <w:r>
              <w:rPr>
                <w:rFonts w:hint="eastAsia"/>
                <w:szCs w:val="21"/>
              </w:rPr>
              <w:t>Thorn Frank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rFonts w:hint="eastAsia"/>
                <w:szCs w:val="21"/>
              </w:rPr>
              <w:t>Ostrovsky</w:t>
            </w:r>
            <w:proofErr w:type="spellEnd"/>
            <w:r>
              <w:rPr>
                <w:rFonts w:hint="eastAsia"/>
                <w:szCs w:val="21"/>
              </w:rPr>
              <w:t xml:space="preserve"> Yuri</w:t>
            </w:r>
            <w:r>
              <w:rPr>
                <w:rFonts w:hint="eastAsia"/>
                <w:szCs w:val="21"/>
              </w:rPr>
              <w:t>，瞿佳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其他有效知识产权</w:t>
            </w:r>
          </w:p>
        </w:tc>
      </w:tr>
      <w:tr w:rsidR="006B7E92">
        <w:trPr>
          <w:trHeight w:val="1439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Bright light suppresses form-deprivation myopia development with activation of dopamine d1 receptor signaling in the on pathway in retina</w:t>
            </w:r>
          </w:p>
        </w:tc>
        <w:tc>
          <w:tcPr>
            <w:tcW w:w="809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2017.07.28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Investigative Ophthalmology &amp; Visual Science. 2017;58(4):2306-2316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陈斯，支知娜，</w:t>
            </w:r>
            <w:proofErr w:type="gramStart"/>
            <w:r>
              <w:rPr>
                <w:rFonts w:hint="eastAsia"/>
                <w:szCs w:val="21"/>
              </w:rPr>
              <w:t>阮</w:t>
            </w:r>
            <w:proofErr w:type="gramEnd"/>
            <w:r>
              <w:rPr>
                <w:rFonts w:hint="eastAsia"/>
                <w:szCs w:val="21"/>
              </w:rPr>
              <w:t>青青，刘青霞，李芬，</w:t>
            </w:r>
            <w:proofErr w:type="spellStart"/>
            <w:r>
              <w:rPr>
                <w:szCs w:val="21"/>
              </w:rPr>
              <w:t>Reinach</w:t>
            </w:r>
            <w:proofErr w:type="spellEnd"/>
            <w:r>
              <w:rPr>
                <w:szCs w:val="21"/>
              </w:rPr>
              <w:t xml:space="preserve"> Peter S</w:t>
            </w:r>
            <w:r>
              <w:rPr>
                <w:rFonts w:hint="eastAsia"/>
                <w:szCs w:val="21"/>
              </w:rPr>
              <w:t>ol</w:t>
            </w:r>
            <w:r>
              <w:rPr>
                <w:rFonts w:hint="eastAsia"/>
                <w:szCs w:val="21"/>
              </w:rPr>
              <w:t>，陈江帆，瞿佳，</w:t>
            </w:r>
            <w:proofErr w:type="gramStart"/>
            <w:r>
              <w:rPr>
                <w:rFonts w:hint="eastAsia"/>
                <w:szCs w:val="21"/>
              </w:rPr>
              <w:t>周翔天</w:t>
            </w:r>
            <w:proofErr w:type="gramEnd"/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其他有效知识产权</w:t>
            </w:r>
          </w:p>
        </w:tc>
      </w:tr>
      <w:tr w:rsidR="006B7E92">
        <w:trPr>
          <w:trHeight w:val="3607"/>
          <w:jc w:val="center"/>
        </w:trPr>
        <w:tc>
          <w:tcPr>
            <w:tcW w:w="1096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论文</w:t>
            </w:r>
          </w:p>
        </w:tc>
        <w:tc>
          <w:tcPr>
            <w:tcW w:w="1930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Genetic Deletion of the Adenosine A2A Receptor Confers Postnatal Development of Relative Myopia in Mice</w:t>
            </w:r>
          </w:p>
        </w:tc>
        <w:tc>
          <w:tcPr>
            <w:tcW w:w="809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color w:val="0D0D0D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B7E92" w:rsidRDefault="006B7E92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6B7E92" w:rsidRDefault="00244DD9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2010.03.30</w:t>
            </w:r>
          </w:p>
        </w:tc>
        <w:tc>
          <w:tcPr>
            <w:tcW w:w="1427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Investigative Ophthalmology &amp; Visual Science. 2010, 51(9): 4362-4370.</w:t>
            </w:r>
          </w:p>
        </w:tc>
        <w:tc>
          <w:tcPr>
            <w:tcW w:w="1069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温州医科大学</w:t>
            </w:r>
          </w:p>
        </w:tc>
        <w:tc>
          <w:tcPr>
            <w:tcW w:w="1183" w:type="dxa"/>
            <w:vAlign w:val="center"/>
          </w:tcPr>
          <w:p w:rsidR="006B7E92" w:rsidRDefault="00244DD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周翔天，黄勤竹，安建宏，鹿润霞，秦晓怡，蒋丽琴，李渊，王建华，陈江帆，瞿佳</w:t>
            </w:r>
          </w:p>
        </w:tc>
        <w:tc>
          <w:tcPr>
            <w:tcW w:w="1045" w:type="dxa"/>
            <w:vAlign w:val="center"/>
          </w:tcPr>
          <w:p w:rsidR="006B7E92" w:rsidRDefault="00244DD9">
            <w:pPr>
              <w:pStyle w:val="a3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其他有效知识产权</w:t>
            </w:r>
          </w:p>
        </w:tc>
      </w:tr>
    </w:tbl>
    <w:p w:rsidR="006B7E92" w:rsidRDefault="009E3396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五</w:t>
      </w:r>
      <w:r w:rsidR="00244DD9">
        <w:rPr>
          <w:rFonts w:hint="eastAsia"/>
          <w:b/>
          <w:bCs/>
        </w:rPr>
        <w:t>、主要完成人情况</w:t>
      </w:r>
      <w:r w:rsidR="00244DD9">
        <w:rPr>
          <w:rFonts w:hint="eastAsia"/>
          <w:b/>
          <w:bCs/>
        </w:rPr>
        <w:t xml:space="preserve"> </w:t>
      </w:r>
    </w:p>
    <w:tbl>
      <w:tblPr>
        <w:tblpPr w:leftFromText="180" w:rightFromText="180" w:vertAnchor="text" w:horzAnchor="page" w:tblpX="1051" w:tblpY="343"/>
        <w:tblOverlap w:val="never"/>
        <w:tblW w:w="99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184"/>
        <w:gridCol w:w="968"/>
        <w:gridCol w:w="1045"/>
        <w:gridCol w:w="1765"/>
        <w:gridCol w:w="2247"/>
        <w:gridCol w:w="2137"/>
      </w:tblGrid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完成单位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对本项目贡献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院长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对创新点1,2,3有贡献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对创新点2,3有贡献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周翔天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对创新点1,3有贡献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对创新点2有贡献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胡亮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浙江温医雷赛医用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激光科技有限公司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浙江温医雷赛医用激光科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技有限公司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对创新点2有贡献</w:t>
            </w:r>
          </w:p>
        </w:tc>
      </w:tr>
      <w:tr w:rsidR="006B7E92">
        <w:trPr>
          <w:trHeight w:val="6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保金华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对创新点3有贡献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对创新点2,3有贡献</w:t>
            </w:r>
          </w:p>
        </w:tc>
      </w:tr>
      <w:tr w:rsidR="006B7E92">
        <w:trPr>
          <w:trHeight w:val="33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温州欣视界科技有限公司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温州欣视界科技有限公司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对创新点2有贡献</w:t>
            </w:r>
          </w:p>
        </w:tc>
      </w:tr>
      <w:tr w:rsidR="006B7E92">
        <w:trPr>
          <w:trHeight w:val="64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王勤美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对创新点2有贡献</w:t>
            </w:r>
          </w:p>
        </w:tc>
      </w:tr>
      <w:tr w:rsidR="006B7E92">
        <w:trPr>
          <w:trHeight w:val="6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黄涨国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6B7E9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教授级工程师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宁波明星科技发展有限公司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宁波明星科技发展有限公司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7E92" w:rsidRDefault="00244D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对创新点3有贡献</w:t>
            </w:r>
          </w:p>
        </w:tc>
      </w:tr>
    </w:tbl>
    <w:p w:rsidR="006B7E92" w:rsidRDefault="009E3396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六</w:t>
      </w:r>
      <w:r w:rsidR="00244DD9">
        <w:rPr>
          <w:rFonts w:hint="eastAsia"/>
          <w:b/>
          <w:bCs/>
        </w:rPr>
        <w:t>、主要完成单位及创新推广贡献：</w:t>
      </w:r>
      <w:r w:rsidR="00244DD9">
        <w:rPr>
          <w:rFonts w:hint="eastAsia"/>
          <w:b/>
          <w:bCs/>
        </w:rPr>
        <w:t xml:space="preserve"> </w:t>
      </w:r>
    </w:p>
    <w:p w:rsidR="006B7E92" w:rsidRDefault="00244DD9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第一完成单位：温州医科大学</w:t>
      </w:r>
    </w:p>
    <w:p w:rsidR="006B7E92" w:rsidRDefault="00244DD9">
      <w:pPr>
        <w:widowControl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对本项目的科技创新和推广应用实行积极的政策支持，对国家眼视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光工程</w:t>
      </w:r>
      <w:proofErr w:type="gramEnd"/>
      <w:r>
        <w:rPr>
          <w:rFonts w:ascii="宋体" w:hAnsi="宋体" w:hint="eastAsia"/>
          <w:color w:val="000000" w:themeColor="text1"/>
          <w:szCs w:val="21"/>
        </w:rPr>
        <w:t>技术研究中心、眼视光学与视觉科学国家重点实验室和国家眼耳鼻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喉</w:t>
      </w:r>
      <w:proofErr w:type="gramEnd"/>
      <w:r>
        <w:rPr>
          <w:rFonts w:ascii="宋体" w:hAnsi="宋体" w:hint="eastAsia"/>
          <w:color w:val="000000" w:themeColor="text1"/>
          <w:szCs w:val="21"/>
        </w:rPr>
        <w:t>疾病临床医学研究中心全方位支持，学科政策倾斜，改善研究条件，积极组织与国内其他医院的对接，引导成果的转化，积极推进成果的临床转化研究，重点开展基础和临床应用性研究工作。</w:t>
      </w:r>
    </w:p>
    <w:p w:rsidR="006B7E92" w:rsidRDefault="00244DD9">
      <w:pPr>
        <w:widowControl/>
        <w:jc w:val="left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第二完成单位：浙江温医雷赛医用激光科技有限公司</w:t>
      </w:r>
    </w:p>
    <w:p w:rsidR="006B7E92" w:rsidRDefault="00244DD9">
      <w:pPr>
        <w:widowControl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作为温州医科大学控股的产业化实体，以准分子激光屈光治疗设备等医用激光诊疗设备的研发、生产为主要业务，依托该项目取得准分子激光角膜屈光治疗机、角膜地形图仪等2项CFDA医疗器械产品注册证。公司具备完善的研究、开发工作条件，可以开展准分子激光屈光治疗设备研发相关的各种关键技术研究、核心部件研制及各种光学设计实验、准分子激光测试、激光能量调整试验和生物模拟试验等，同时建立了符合CFDA要求的生产车间，可有效满足准分子激光治疗设备生产需求。</w:t>
      </w:r>
    </w:p>
    <w:p w:rsidR="006B7E92" w:rsidRDefault="00244DD9">
      <w:pPr>
        <w:widowControl/>
        <w:jc w:val="left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第三完成单位：温州欣视界科技有限公司</w:t>
      </w:r>
    </w:p>
    <w:p w:rsidR="006B7E92" w:rsidRDefault="00244DD9">
      <w:pPr>
        <w:widowControl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作为温州医科大学控股的产业化实体，以医用光学器械和植入性耗材研发和生产为主要业务，依托该项目取得CFDA第Ⅲ类医疗器械产品注册证，公司在完善原有产品基础之上，推出一批拥有自主知识产权的RGP产品，为该项目的转化应用提供了产业化推广平台。</w:t>
      </w:r>
    </w:p>
    <w:p w:rsidR="006B7E92" w:rsidRDefault="00244DD9">
      <w:pPr>
        <w:widowControl/>
        <w:jc w:val="left"/>
        <w:rPr>
          <w:rFonts w:ascii="宋体" w:hAnsi="宋体"/>
          <w:b/>
          <w:bCs/>
          <w:color w:val="000000" w:themeColor="text1"/>
        </w:rPr>
      </w:pPr>
      <w:r>
        <w:rPr>
          <w:rFonts w:ascii="宋体" w:hAnsi="宋体" w:hint="eastAsia"/>
          <w:b/>
          <w:bCs/>
          <w:color w:val="000000" w:themeColor="text1"/>
        </w:rPr>
        <w:t>第四完成单位：宁波明星科技发展有限公司</w:t>
      </w:r>
    </w:p>
    <w:p w:rsidR="006B7E92" w:rsidRDefault="00244DD9">
      <w:pPr>
        <w:widowControl/>
        <w:ind w:firstLineChars="200" w:firstLine="420"/>
        <w:jc w:val="left"/>
        <w:rPr>
          <w:rFonts w:ascii="宋体" w:hAnsi="宋体"/>
          <w:color w:val="000000" w:themeColor="text1"/>
        </w:rPr>
      </w:pPr>
      <w:r>
        <w:rPr>
          <w:rFonts w:ascii="宋体" w:hAnsi="宋体"/>
          <w:color w:val="000000" w:themeColor="text1"/>
        </w:rPr>
        <w:t>完成产品设计开发，申报国家专利及产品注册，</w:t>
      </w:r>
      <w:r>
        <w:rPr>
          <w:rFonts w:ascii="宋体" w:hAnsi="宋体" w:hint="eastAsia"/>
          <w:color w:val="000000" w:themeColor="text1"/>
          <w:szCs w:val="21"/>
        </w:rPr>
        <w:t>该项目取得CFDA医疗器械产品注册证</w:t>
      </w:r>
      <w:r>
        <w:rPr>
          <w:rFonts w:ascii="宋体" w:hAnsi="宋体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  <w:szCs w:val="21"/>
        </w:rPr>
        <w:t>推出一批拥有自主知识产权的医疗器械，</w:t>
      </w:r>
      <w:r>
        <w:rPr>
          <w:rFonts w:ascii="宋体" w:hAnsi="宋体"/>
          <w:color w:val="000000" w:themeColor="text1"/>
        </w:rPr>
        <w:t>及时记录产品临床应用的临床反馈情况。</w:t>
      </w:r>
    </w:p>
    <w:p w:rsidR="006B7E92" w:rsidRDefault="009E3396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七</w:t>
      </w:r>
      <w:r w:rsidR="00244DD9">
        <w:rPr>
          <w:rFonts w:hint="eastAsia"/>
          <w:b/>
          <w:bCs/>
        </w:rPr>
        <w:t>、完成人合作关系说明</w:t>
      </w:r>
    </w:p>
    <w:p w:rsidR="006B7E92" w:rsidRDefault="00244DD9">
      <w:pPr>
        <w:widowControl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本项目组在科技部和国家自然科学基金委等课题的支持下，长期从事近视防治关键技术的研究和应用推广。温州医科大学瞿佳教授为本项目的第一完成人和主要负责人，陈浩、周翔天、瞿佳、李星熠、胡亮保金华、李明、姜珺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黄涨国</w:t>
      </w:r>
      <w:proofErr w:type="gramEnd"/>
      <w:r>
        <w:rPr>
          <w:rFonts w:ascii="宋体" w:hAnsi="宋体" w:hint="eastAsia"/>
          <w:color w:val="000000" w:themeColor="text1"/>
          <w:szCs w:val="21"/>
        </w:rPr>
        <w:t>为该项目的主要创建者，从项目一直合作至今，合作方式包括专利发明、论文合著、共同立项、共同获奖、共同知识产权。</w:t>
      </w:r>
    </w:p>
    <w:sectPr w:rsidR="006B7E92" w:rsidSect="006B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3C" w:rsidRDefault="00906A3C" w:rsidP="00535114">
      <w:r>
        <w:separator/>
      </w:r>
    </w:p>
  </w:endnote>
  <w:endnote w:type="continuationSeparator" w:id="0">
    <w:p w:rsidR="00906A3C" w:rsidRDefault="00906A3C" w:rsidP="0053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3C" w:rsidRDefault="00906A3C" w:rsidP="00535114">
      <w:r>
        <w:separator/>
      </w:r>
    </w:p>
  </w:footnote>
  <w:footnote w:type="continuationSeparator" w:id="0">
    <w:p w:rsidR="00906A3C" w:rsidRDefault="00906A3C" w:rsidP="0053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396C"/>
    <w:multiLevelType w:val="singleLevel"/>
    <w:tmpl w:val="140D396C"/>
    <w:lvl w:ilvl="0">
      <w:start w:val="2"/>
      <w:numFmt w:val="decimal"/>
      <w:suff w:val="nothing"/>
      <w:lvlText w:val="%1．"/>
      <w:lvlJc w:val="left"/>
    </w:lvl>
  </w:abstractNum>
  <w:abstractNum w:abstractNumId="1">
    <w:nsid w:val="69C2AE49"/>
    <w:multiLevelType w:val="singleLevel"/>
    <w:tmpl w:val="69C2AE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1069"/>
    <w:rsid w:val="00172A27"/>
    <w:rsid w:val="00244DD9"/>
    <w:rsid w:val="003318C0"/>
    <w:rsid w:val="00535114"/>
    <w:rsid w:val="006B7E92"/>
    <w:rsid w:val="006E27DF"/>
    <w:rsid w:val="0070375B"/>
    <w:rsid w:val="007E5746"/>
    <w:rsid w:val="008C164E"/>
    <w:rsid w:val="00906A3C"/>
    <w:rsid w:val="009E3396"/>
    <w:rsid w:val="00B17606"/>
    <w:rsid w:val="00B7403E"/>
    <w:rsid w:val="00E5301A"/>
    <w:rsid w:val="1B975D5A"/>
    <w:rsid w:val="286E748D"/>
    <w:rsid w:val="2A454A39"/>
    <w:rsid w:val="2AEB4291"/>
    <w:rsid w:val="2C506655"/>
    <w:rsid w:val="58427A6F"/>
    <w:rsid w:val="5AD7118D"/>
    <w:rsid w:val="719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B7E92"/>
    <w:pPr>
      <w:spacing w:line="360" w:lineRule="auto"/>
      <w:ind w:firstLineChars="200" w:firstLine="480"/>
    </w:pPr>
    <w:rPr>
      <w:rFonts w:ascii="仿宋_GB2312"/>
      <w:sz w:val="24"/>
    </w:rPr>
  </w:style>
  <w:style w:type="table" w:styleId="a4">
    <w:name w:val="Table Grid"/>
    <w:basedOn w:val="a1"/>
    <w:uiPriority w:val="59"/>
    <w:qFormat/>
    <w:rsid w:val="006B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rsid w:val="006B7E92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  <w:style w:type="paragraph" w:styleId="a5">
    <w:name w:val="header"/>
    <w:basedOn w:val="a"/>
    <w:link w:val="Char"/>
    <w:rsid w:val="0053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35114"/>
    <w:rPr>
      <w:kern w:val="2"/>
      <w:sz w:val="18"/>
      <w:szCs w:val="18"/>
    </w:rPr>
  </w:style>
  <w:style w:type="paragraph" w:styleId="a6">
    <w:name w:val="footer"/>
    <w:basedOn w:val="a"/>
    <w:link w:val="Char0"/>
    <w:rsid w:val="00535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351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2755</Characters>
  <Application>Microsoft Office Word</Application>
  <DocSecurity>0</DocSecurity>
  <Lines>22</Lines>
  <Paragraphs>6</Paragraphs>
  <ScaleCrop>false</ScaleCrop>
  <Company>Lenovo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宋盟</cp:lastModifiedBy>
  <cp:revision>5</cp:revision>
  <dcterms:created xsi:type="dcterms:W3CDTF">2020-01-08T03:09:00Z</dcterms:created>
  <dcterms:modified xsi:type="dcterms:W3CDTF">2020-01-08T03:47:00Z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